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customXml/itemProps1.xml" ContentType="application/vnd.openxmlformats-officedocument.customXmlProperties+xml"/>
  <Override PartName="/word/numbering.xml" ContentType="application/vnd.openxmlformats-officedocument.wordprocessingml.numbering+xml"/>
  <Override PartName="/word/header1.xml" ContentType="application/vnd.openxmlformats-officedocument.wordprocessingml.header+xml"/>
  <Override PartName="/word/footer1.xml" ContentType="application/vnd.openxmlformats-officedocument.wordprocessingml.footer+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240"/>
        <w:jc w:val="center"/>
      </w:pPr>
      <w:r>
        <w:drawing>
          <wp:inline xmlns:a="http://schemas.openxmlformats.org/drawingml/2006/main" xmlns:pic="http://schemas.openxmlformats.org/drawingml/2006/picture">
            <wp:extent cx="1170432" cy="1170432"/>
            <wp:docPr id="1" name="Picture 1"/>
            <wp:cNvGraphicFramePr>
              <a:graphicFrameLocks noChangeAspect="1"/>
            </wp:cNvGraphicFramePr>
            <a:graphic>
              <a:graphicData uri="http://schemas.openxmlformats.org/drawingml/2006/picture">
                <pic:pic>
                  <pic:nvPicPr>
                    <pic:cNvPr id="0" name="reading_strategy_logo.png"/>
                    <pic:cNvPicPr/>
                  </pic:nvPicPr>
                  <pic:blipFill>
                    <a:blip r:embed="rId11"/>
                    <a:stretch>
                      <a:fillRect/>
                    </a:stretch>
                  </pic:blipFill>
                  <pic:spPr>
                    <a:xfrm>
                      <a:off x="0" y="0"/>
                      <a:ext cx="1170432" cy="1170432"/>
                    </a:xfrm>
                    <a:prstGeom prst="rect"/>
                  </pic:spPr>
                </pic:pic>
              </a:graphicData>
            </a:graphic>
          </wp:inline>
        </w:drawing>
      </w:r>
    </w:p>
    <w:p>
      <w:pPr>
        <w:jc w:val="center"/>
      </w:pPr>
      <w:r>
        <w:rPr>
          <w:b/>
          <w:sz w:val="28"/>
        </w:rPr>
        <w:t>Stanley St Andrew’s Church of England Primary School</w:t>
      </w:r>
    </w:p>
    <w:p>
      <w:pPr>
        <w:spacing w:after="240"/>
        <w:jc w:val="center"/>
      </w:pPr>
      <w:r>
        <w:rPr>
          <w:b/>
          <w:sz w:val="28"/>
        </w:rPr>
        <w:t>Reading Strategy</w:t>
      </w:r>
    </w:p>
    <w:p>
      <w:r>
        <w:t>As a church school we believe that every person, every child and every adult is unique and special with God-given gifts and talents which it is our responsibility to nurture and cherish.</w:t>
      </w:r>
    </w:p>
    <w:p>
      <w:pPr>
        <w:spacing w:before="160" w:after="100"/>
      </w:pPr>
      <w:r>
        <w:rPr>
          <w:b/>
        </w:rPr>
        <w:t>Reading Strategy</w:t>
      </w:r>
    </w:p>
    <w:p>
      <w:r>
        <w:t>Our Reading Strategy is a whole-school approach to developing fluent, confident and thoughtful readers. In Key Stages 1 and 2, whole-class reading takes place every day for a minimum of 30 minutes as the school’s agreed curriculum approach. Additional reading, phonics, fluency practice and targeted support are organised according to pupils’ needs.</w:t>
      </w:r>
    </w:p>
    <w:p>
      <w:r>
        <w:t>Sessions use age-appropriate, ambitious and engaging texts that are rich in vocabulary and knowledge. Pupils encounter a broad reading diet including fiction, non-fiction and poetry and texts from a range of authors, traditions, cultures and experiences.</w:t>
      </w:r>
    </w:p>
    <w:p>
      <w:r>
        <w:t>The strategy develops comprehension alongside fluency, vocabulary and background knowledge. Teachers explicitly model how proficient readers make meaning from text and provide structured opportunities for pupils to discuss, explain, justify and refine their responses.</w:t>
      </w:r>
    </w:p>
    <w:p>
      <w:r>
        <w:t>All pupils are entitled to access high-quality texts and discussion. Where pupils experience barriers in decoding, fluency, language, vocabulary or comprehension, teachers use appropriate scaffolding and additional targeted teaching so that pupils can participate meaningfully in the wider reading curriculum.</w:t>
      </w:r>
    </w:p>
    <w:p>
      <w:pPr>
        <w:spacing w:before="160" w:after="100"/>
      </w:pPr>
      <w:r>
        <w:rPr>
          <w:b/>
        </w:rPr>
        <w:t>Core Principles</w:t>
      </w:r>
    </w:p>
    <w:p>
      <w:pPr>
        <w:pStyle w:val="ListBullet"/>
        <w:ind w:left="605" w:hanging="288"/>
      </w:pPr>
      <w:r>
        <w:t>A daily whole-class reading session of at least 30 minutes in Key Stages 1 and 2. Additional reading time is organised separately by the school.</w:t>
      </w:r>
    </w:p>
    <w:p>
      <w:pPr>
        <w:pStyle w:val="ListBullet"/>
        <w:ind w:left="605" w:hanging="288"/>
      </w:pPr>
      <w:r>
        <w:t>Wherever possible, whole-class reading takes place during the morning. It is a protected curriculum session and should not routinely be displaced by other activities.</w:t>
      </w:r>
    </w:p>
    <w:p>
      <w:pPr>
        <w:pStyle w:val="ListBullet"/>
        <w:ind w:left="605" w:hanging="288"/>
      </w:pPr>
      <w:r>
        <w:t>Texts are selected primarily for their quality, richness, age appropriateness and contribution to pupils’ reading development. They do not need to link to another curriculum subject.</w:t>
      </w:r>
    </w:p>
    <w:p>
      <w:pPr>
        <w:pStyle w:val="ListBullet"/>
        <w:ind w:left="605" w:hanging="288"/>
      </w:pPr>
      <w:r>
        <w:t>Texts may be studied over a half term or longer where this allows pupils to engage with a substantial text in appropriate depth. Teachers may also use shorter texts, extracts, poetry and non-fiction where these best serve the intended reading learning.</w:t>
      </w:r>
    </w:p>
    <w:p>
      <w:pPr>
        <w:pStyle w:val="ListBullet"/>
        <w:ind w:left="605" w:hanging="288"/>
      </w:pPr>
      <w:r>
        <w:t>Teachers explicitly teach vocabulary, fluency and comprehension and activate or build relevant background knowledge where this is necessary for understanding.</w:t>
      </w:r>
    </w:p>
    <w:p>
      <w:pPr>
        <w:pStyle w:val="ListBullet"/>
        <w:ind w:left="605" w:hanging="288"/>
      </w:pPr>
      <w:r>
        <w:t>Reading is taught through high-quality teacher modelling, discussion, questioning, oral response and purposeful written response. Written evidence is proportionate and does not replace rich reading and discussion.</w:t>
      </w:r>
    </w:p>
    <w:p>
      <w:pPr>
        <w:pStyle w:val="ListBullet"/>
        <w:ind w:left="605" w:hanging="288"/>
      </w:pPr>
      <w:r>
        <w:t>Across the curriculum, pupils encounter appropriate non-fiction, poetry and subject-specific texts so that reading supports access to the full curriculum.</w:t>
      </w:r>
    </w:p>
    <w:p>
      <w:pPr>
        <w:spacing w:before="160" w:after="100"/>
      </w:pPr>
      <w:r>
        <w:rPr>
          <w:b/>
        </w:rPr>
        <w:t>Reciprocal Reading and Comprehension</w:t>
      </w:r>
    </w:p>
    <w:p>
      <w:r>
        <w:t>Reciprocal Reading remains one of the approaches used to support comprehension. Pupils are taught to use questioning, clarifying, summarising and predicting purposefully when these strategies help them construct meaning from a text.</w:t>
      </w:r>
    </w:p>
    <w:p>
      <w:r>
        <w:t>These strategies are not taught as an end in themselves. Teachers select the approach that best fits the text and intended learning and also teach pupils to retrieve and connect information, make inferences, explain vocabulary in context, identify themes and conventions, consider authorial choices, compare information and justify interpretations with evidence.</w:t>
      </w:r>
    </w:p>
    <w:p>
      <w:r>
        <w:t>Teachers model the thinking of a skilled reader and gradually reduce scaffolding as pupils become increasingly independent.</w:t>
      </w:r>
    </w:p>
    <w:p>
      <w:pPr>
        <w:spacing w:before="160" w:after="100"/>
      </w:pPr>
      <w:r>
        <w:rPr>
          <w:b/>
        </w:rPr>
        <w:t>Fluency</w:t>
      </w:r>
    </w:p>
    <w:p>
      <w:r>
        <w:t>Fluent reading is essential because pupils need sufficient accuracy and automaticity in word reading to direct attention towards meaning. Teaching therefore develops accuracy, automaticity, appropriate pace and prosody.</w:t>
      </w:r>
    </w:p>
    <w:p>
      <w:r>
        <w:t>Approaches may include teacher modelling, echo reading, repeated reading, paired reading and supported oral reading. Fluency practice uses texts that are appropriately matched to the purpose of the session.</w:t>
      </w:r>
    </w:p>
    <w:p>
      <w:r>
        <w:t>Teachers listen to pupils read and use assessment to distinguish between difficulties with decoding, fluency and comprehension. Pupils who can decode accurately but read slowly or without appropriate phrasing receive focused fluency support rather than being given generic comprehension intervention.</w:t>
      </w:r>
    </w:p>
    <w:p>
      <w:pPr>
        <w:spacing w:before="160" w:after="100"/>
      </w:pPr>
      <w:r>
        <w:rPr>
          <w:b/>
        </w:rPr>
        <w:t>Phonics and pupils who are not yet secure readers</w:t>
      </w:r>
    </w:p>
    <w:p>
      <w:r>
        <w:t>Systematic synthetic phonics remains the primary approach to teaching early word reading. In Reception and Key Stage 1, and for older pupils who have not secured the alphabetic code, reading provision is aligned with the school’s chosen systematic synthetic phonics programme.</w:t>
      </w:r>
    </w:p>
    <w:p>
      <w:r>
        <w:t>Decodable books used for pupils learning to decode are matched closely to the grapheme-phoneme correspondences pupils have been taught. Pupils who require additional support receive prompt, targeted teaching so that gaps in word reading do not become entrenched.</w:t>
      </w:r>
    </w:p>
    <w:p>
      <w:r>
        <w:t>Whole-class reading does not replace phonics or appropriately matched decoding practice. Where a challenging class text is beyond a pupil’s independent word-reading level, appropriate teacher reading, oral access and scaffolding allow the pupil to engage with its language, ideas and discussion while decoding is taught separately.</w:t>
      </w:r>
    </w:p>
    <w:p>
      <w:pPr>
        <w:spacing w:before="160" w:after="100"/>
      </w:pPr>
      <w:r>
        <w:rPr>
          <w:b/>
        </w:rPr>
        <w:t>Pupils who are not yet meeting age-related expectations</w:t>
      </w:r>
    </w:p>
    <w:p>
      <w:r>
        <w:t>Teachers use assessment diagnostically rather than assuming that all pupils who are below age-related expectations require the same intervention. The school follows the cycle:</w:t>
      </w:r>
    </w:p>
    <w:p>
      <w:pPr>
        <w:pStyle w:val="ListBullet"/>
        <w:ind w:left="605" w:hanging="288"/>
      </w:pPr>
      <w:r>
        <w:t>Assess - identify what the pupil can do securely and the precise barrier to further progress.</w:t>
      </w:r>
    </w:p>
    <w:p>
      <w:pPr>
        <w:pStyle w:val="ListBullet"/>
        <w:ind w:left="605" w:hanging="288"/>
      </w:pPr>
      <w:r>
        <w:t>Identify - determine whether the principal need relates to phonics/decoding, fluency, vocabulary and language, background knowledge, comprehension or a combination of these.</w:t>
      </w:r>
    </w:p>
    <w:p>
      <w:pPr>
        <w:pStyle w:val="ListBullet"/>
        <w:ind w:left="605" w:hanging="288"/>
      </w:pPr>
      <w:r>
        <w:t>Teach - provide targeted, evidence-informed additional teaching matched to the identified need.</w:t>
      </w:r>
    </w:p>
    <w:p>
      <w:pPr>
        <w:pStyle w:val="ListBullet"/>
        <w:ind w:left="605" w:hanging="288"/>
      </w:pPr>
      <w:r>
        <w:t>Monitor - check whether the pupil is responding and whether learning is transferring into classroom reading.</w:t>
      </w:r>
    </w:p>
    <w:p>
      <w:pPr>
        <w:pStyle w:val="ListBullet"/>
        <w:ind w:left="605" w:hanging="288"/>
      </w:pPr>
      <w:r>
        <w:t>Adapt - change the intensity, approach or focus where progress is insufficient.</w:t>
      </w:r>
    </w:p>
    <w:p>
      <w:r>
        <w:t>Additional provision is timely and focused. It should support pupils towards successful participation in the ambitious class reading curriculum rather than routinely replacing it.</w:t>
      </w:r>
    </w:p>
    <w:p>
      <w:pPr>
        <w:spacing w:before="160" w:after="100"/>
      </w:pPr>
      <w:r>
        <w:rPr>
          <w:b/>
        </w:rPr>
        <w:t>Scaffolding and Challenge</w:t>
      </w:r>
    </w:p>
    <w:p>
      <w:r>
        <w:t>Pupils are not routinely grouped or labelled as ‘lower ability’ or ‘higher ability’ readers. Teachers maintain ambitious expectations and respond to current reading knowledge and need.</w:t>
      </w:r>
    </w:p>
    <w:p>
      <w:r>
        <w:t>Scaffolding may include:</w:t>
      </w:r>
    </w:p>
    <w:p>
      <w:pPr>
        <w:pStyle w:val="ListBullet"/>
        <w:ind w:left="605" w:hanging="288"/>
      </w:pPr>
      <w:r>
        <w:t>teacher or expert reading of part of a challenging text;</w:t>
      </w:r>
    </w:p>
    <w:p>
      <w:pPr>
        <w:pStyle w:val="ListBullet"/>
        <w:ind w:left="605" w:hanging="288"/>
      </w:pPr>
      <w:r>
        <w:t>pre-teaching essential vocabulary or background knowledge;</w:t>
      </w:r>
    </w:p>
    <w:p>
      <w:pPr>
        <w:pStyle w:val="ListBullet"/>
        <w:ind w:left="605" w:hanging="288"/>
      </w:pPr>
      <w:r>
        <w:t>re-reading, echo reading or supported oral reading;</w:t>
      </w:r>
    </w:p>
    <w:p>
      <w:pPr>
        <w:pStyle w:val="ListBullet"/>
        <w:ind w:left="605" w:hanging="288"/>
      </w:pPr>
      <w:r>
        <w:t>chunking text into manageable sections;</w:t>
      </w:r>
    </w:p>
    <w:p>
      <w:pPr>
        <w:pStyle w:val="ListBullet"/>
        <w:ind w:left="605" w:hanging="288"/>
      </w:pPr>
      <w:r>
        <w:t>visuals, glossaries, vocabulary prompts or sentence stems;</w:t>
      </w:r>
    </w:p>
    <w:p>
      <w:pPr>
        <w:pStyle w:val="ListBullet"/>
        <w:ind w:left="605" w:hanging="288"/>
      </w:pPr>
      <w:r>
        <w:t>carefully structured questions and discussion;</w:t>
      </w:r>
    </w:p>
    <w:p>
      <w:pPr>
        <w:pStyle w:val="ListBullet"/>
        <w:ind w:left="605" w:hanging="288"/>
      </w:pPr>
      <w:r>
        <w:t>additional processing time or targeted adult support.</w:t>
      </w:r>
    </w:p>
    <w:p>
      <w:r>
        <w:t>Challenge is provided through the quality and complexity of texts and through increasing depth, precision and independence. Pupils may be challenged to reconcile information across a text, evaluate interpretations, analyse language and structure, compare texts or viewpoints, justify ideas using carefully selected evidence and engage with increasingly sophisticated vocabulary and themes.</w:t>
      </w:r>
    </w:p>
    <w:p>
      <w:pPr>
        <w:spacing w:before="160" w:after="100"/>
      </w:pPr>
      <w:r>
        <w:rPr>
          <w:b/>
        </w:rPr>
        <w:t>Reading Records, Responses and Evidence</w:t>
      </w:r>
    </w:p>
    <w:p>
      <w:r>
        <w:t>Pupils’ reading records support communication about reading and may be used to record home and school reading in accordance with the school’s current arrangements.</w:t>
      </w:r>
    </w:p>
    <w:p>
      <w:r>
        <w:t>Purposeful written responses form part of reading, but there is no requirement in this strategy for exactly two written comprehension responses every week or for every year group to use a particular comprehension book. Teachers select written, oral and practical responses according to the intended learning.</w:t>
      </w:r>
    </w:p>
    <w:p>
      <w:r>
        <w:t>Pupils’ books and other evidence should demonstrate that reading is valued, but evidence collection is not an end in itself. Leaders evaluate reading through a range of evidence including pupils’ reading, discussion, work, assessment and curriculum monitoring.</w:t>
      </w:r>
    </w:p>
    <w:p>
      <w:pPr>
        <w:spacing w:before="160" w:after="100"/>
      </w:pPr>
      <w:r>
        <w:rPr>
          <w:b/>
        </w:rPr>
        <w:t>Rationale for the Reading Strategy</w:t>
      </w:r>
    </w:p>
    <w:p>
      <w:r>
        <w:t>The strategy supports high-quality and consistent reading teaching across our small school. It aims to:</w:t>
      </w:r>
    </w:p>
    <w:p>
      <w:pPr>
        <w:pStyle w:val="ListBullet"/>
        <w:ind w:left="605" w:hanging="288"/>
      </w:pPr>
      <w:r>
        <w:t>ensure that all pupils are exposed to ambitious, high-quality texts and rich discussion;</w:t>
      </w:r>
    </w:p>
    <w:p>
      <w:pPr>
        <w:pStyle w:val="ListBullet"/>
        <w:ind w:left="605" w:hanging="288"/>
      </w:pPr>
      <w:r>
        <w:t>develop secure word reading, fluency, vocabulary and comprehension;</w:t>
      </w:r>
    </w:p>
    <w:p>
      <w:pPr>
        <w:pStyle w:val="ListBullet"/>
        <w:ind w:left="605" w:hanging="288"/>
      </w:pPr>
      <w:r>
        <w:t>build pupils’ knowledge of texts, authors, genres, poetry and non-fiction;</w:t>
      </w:r>
    </w:p>
    <w:p>
      <w:pPr>
        <w:pStyle w:val="ListBullet"/>
        <w:ind w:left="605" w:hanging="288"/>
      </w:pPr>
      <w:r>
        <w:t>support collaboration and sharing of strong practice within school and through appropriate small-school partnerships;</w:t>
      </w:r>
    </w:p>
    <w:p>
      <w:pPr>
        <w:pStyle w:val="ListBullet"/>
        <w:ind w:left="605" w:hanging="288"/>
      </w:pPr>
      <w:r>
        <w:t>support manageable planning and resourcing while preserving teachers’ professional judgement;</w:t>
      </w:r>
    </w:p>
    <w:p>
      <w:pPr>
        <w:pStyle w:val="ListBullet"/>
        <w:ind w:left="605" w:hanging="288"/>
      </w:pPr>
      <w:r>
        <w:t>develop staff subject knowledge and confidence in the teaching of reading;</w:t>
      </w:r>
    </w:p>
    <w:p>
      <w:pPr>
        <w:pStyle w:val="ListBullet"/>
        <w:ind w:left="605" w:hanging="288"/>
      </w:pPr>
      <w:r>
        <w:t>give leaders and teachers a clear overview of pupils’ reading experiences and progress;</w:t>
      </w:r>
    </w:p>
    <w:p>
      <w:pPr>
        <w:pStyle w:val="ListBullet"/>
        <w:ind w:left="605" w:hanging="288"/>
      </w:pPr>
      <w:r>
        <w:t>support accurate understanding of National Curriculum reading expectations and effective moderation;</w:t>
      </w:r>
    </w:p>
    <w:p>
      <w:pPr>
        <w:pStyle w:val="ListBullet"/>
        <w:ind w:left="605" w:hanging="288"/>
      </w:pPr>
      <w:r>
        <w:t>provide purposeful professional development informed by monitoring and pupils’ needs.</w:t>
      </w:r>
    </w:p>
    <w:p>
      <w:pPr>
        <w:spacing w:before="160" w:after="100"/>
      </w:pPr>
      <w:r>
        <w:rPr>
          <w:b/>
        </w:rPr>
        <w:t>Assessment</w:t>
      </w:r>
    </w:p>
    <w:p>
      <w:r>
        <w:t>Assessment is used to understand pupils’ reading development and inform teaching. Teachers draw on day-to-day reading, questioning, discussion, oral reading, written responses and appropriate standardised or statutory assessments.</w:t>
      </w:r>
    </w:p>
    <w:p>
      <w:r>
        <w:t>Assessment should help staff identify whether difficulties arise principally from decoding, fluency, vocabulary/language or comprehension. A test score alone should not determine the support a pupil receives.</w:t>
      </w:r>
    </w:p>
    <w:p>
      <w:r>
        <w:t>Assessment and recording are proportionate and should provide useful information for teaching, intervention, reporting and school evaluation without creating unnecessary workload.</w:t>
      </w:r>
    </w:p>
    <w:p>
      <w:pPr>
        <w:spacing w:before="160" w:after="100"/>
      </w:pPr>
      <w:r>
        <w:rPr>
          <w:b/>
        </w:rPr>
        <w:t>Inclusion and SEND</w:t>
      </w:r>
    </w:p>
    <w:p>
      <w:r>
        <w:t>Reading is an entitlement for all pupils. Provision for pupils with SEND is consistent with the school’s SEND Policy, the SEND Code of Practice and the Equality Act 2010. Teachers use reasonable adjustments and adaptive teaching to remove barriers while retaining ambitious reading goals.</w:t>
      </w:r>
    </w:p>
    <w:p>
      <w:r>
        <w:t>Adaptations may include additional phonics or fluency teaching, pre-teaching, visual support, accessible formats, assistive technology, additional processing time, alternative means of response and carefully deployed adult support. Where pupils have identified communication or language needs, staff consider these explicitly when planning reading provision.</w:t>
      </w:r>
    </w:p>
    <w:p>
      <w:pPr>
        <w:spacing w:before="160" w:after="100"/>
      </w:pPr>
      <w:r>
        <w:rPr>
          <w:b/>
        </w:rPr>
        <w:t>Impact</w:t>
      </w:r>
    </w:p>
    <w:p>
      <w:r>
        <w:t>The impact of the Reading Strategy is seen in pupils becoming increasingly accurate, fluent, confident and independent readers who understand and enjoy a broad range of texts.</w:t>
      </w:r>
    </w:p>
    <w:p>
      <w:r>
        <w:t>Over time, pupils should:</w:t>
      </w:r>
    </w:p>
    <w:p>
      <w:pPr>
        <w:pStyle w:val="ListBullet"/>
        <w:ind w:left="605" w:hanging="288"/>
      </w:pPr>
      <w:r>
        <w:t>read with increasing accuracy, automaticity, appropriate pace and expression;</w:t>
      </w:r>
    </w:p>
    <w:p>
      <w:pPr>
        <w:pStyle w:val="ListBullet"/>
        <w:ind w:left="605" w:hanging="288"/>
      </w:pPr>
      <w:r>
        <w:t>develop a broad and increasingly sophisticated vocabulary;</w:t>
      </w:r>
    </w:p>
    <w:p>
      <w:pPr>
        <w:pStyle w:val="ListBullet"/>
        <w:ind w:left="605" w:hanging="288"/>
      </w:pPr>
      <w:r>
        <w:t>understand, retrieve, infer, summarise, compare, explain and evaluate with increasing independence;</w:t>
      </w:r>
    </w:p>
    <w:p>
      <w:pPr>
        <w:pStyle w:val="ListBullet"/>
        <w:ind w:left="605" w:hanging="288"/>
      </w:pPr>
      <w:r>
        <w:t>use evidence from texts to justify and refine interpretations;</w:t>
      </w:r>
    </w:p>
    <w:p>
      <w:pPr>
        <w:pStyle w:val="ListBullet"/>
        <w:ind w:left="605" w:hanging="288"/>
      </w:pPr>
      <w:r>
        <w:t>develop knowledge of a broad range of fiction, non-fiction, poetry, authors and literary traditions;</w:t>
      </w:r>
    </w:p>
    <w:p>
      <w:pPr>
        <w:pStyle w:val="ListBullet"/>
        <w:ind w:left="605" w:hanging="288"/>
      </w:pPr>
      <w:r>
        <w:t>participate confidently in high-quality discussion about texts;</w:t>
      </w:r>
    </w:p>
    <w:p>
      <w:pPr>
        <w:pStyle w:val="ListBullet"/>
        <w:ind w:left="605" w:hanging="288"/>
      </w:pPr>
      <w:r>
        <w:t>apply reading successfully across the curriculum;</w:t>
      </w:r>
    </w:p>
    <w:p>
      <w:pPr>
        <w:pStyle w:val="ListBullet"/>
        <w:ind w:left="605" w:hanging="288"/>
      </w:pPr>
      <w:r>
        <w:t>be well prepared for the reading demands of the next stage of education.</w:t>
      </w:r>
    </w:p>
    <w:p>
      <w:r>
        <w:t>Leaders evaluate impact through pupil outcomes and through what pupils can demonstrate in reading, discussion and work over time. Staff professional development and collaboration should result in increasingly consistent and effective reading teaching.</w:t>
      </w:r>
    </w:p>
    <w:p>
      <w:pPr>
        <w:spacing w:before="160" w:after="100"/>
      </w:pPr>
      <w:r>
        <w:rPr>
          <w:b/>
        </w:rPr>
        <w:t>Leadership, Monitoring and Professional Development</w:t>
      </w:r>
    </w:p>
    <w:p>
      <w:r>
        <w:t>The English/Reading subject leader maintains an overview of the reading curriculum and supports colleagues’ subject and pedagogical knowledge. Monitoring is proportionate and may include listening to pupils read, pupil discussion, work scrutiny, lesson visits, curriculum conversations, assessment information and review of interventions.</w:t>
      </w:r>
    </w:p>
    <w:p>
      <w:r>
        <w:t>Monitoring considers the quality and ambition of texts, fluency and comprehension teaching, phonics alignment, vocabulary development, provision for pupils who are behind, and the reading experience and outcomes of pupils with SEND, disadvantaged pupils and other relevant groups.</w:t>
      </w:r>
    </w:p>
    <w:p>
      <w:r>
        <w:t>Professional development is planned in response to identified priorities. Opportunities to observe strong practice, work with small-school or other professional networks, moderate expectations and develop links with Key Stage 3 are used where they have a clear impact on teaching and pupils’ reading.</w:t>
      </w:r>
    </w:p>
    <w:p>
      <w:pPr>
        <w:spacing w:before="160" w:after="100"/>
      </w:pPr>
      <w:r>
        <w:rPr>
          <w:b/>
        </w:rPr>
        <w:t>Priorities for 2026-27</w:t>
      </w:r>
    </w:p>
    <w:p>
      <w:pPr>
        <w:pStyle w:val="ListBullet"/>
        <w:ind w:left="605" w:hanging="288"/>
      </w:pPr>
      <w:r>
        <w:t>Embed a consistent whole-school understanding of reading fluency and its relationship with decoding and comprehension.</w:t>
      </w:r>
    </w:p>
    <w:p>
      <w:pPr>
        <w:pStyle w:val="ListBullet"/>
        <w:ind w:left="605" w:hanging="288"/>
      </w:pPr>
      <w:r>
        <w:t>Review the whole-school reading spine and class texts to ensure appropriate ambition, breadth, diversity, poetry and non-fiction.</w:t>
      </w:r>
    </w:p>
    <w:p>
      <w:pPr>
        <w:pStyle w:val="ListBullet"/>
        <w:ind w:left="605" w:hanging="288"/>
      </w:pPr>
      <w:r>
        <w:t>Ensure additional reading provision is diagnostically matched to pupils’ specific barriers and that its impact is reviewed.</w:t>
      </w:r>
    </w:p>
    <w:p>
      <w:pPr>
        <w:pStyle w:val="ListBullet"/>
        <w:ind w:left="605" w:hanging="288"/>
      </w:pPr>
      <w:r>
        <w:t>Use lesson visits, pupil discussion and opportunities to observe colleagues to share effective practice in Key Stages 1 and 2.</w:t>
      </w:r>
    </w:p>
    <w:p>
      <w:pPr>
        <w:pStyle w:val="ListBullet"/>
        <w:ind w:left="605" w:hanging="288"/>
      </w:pPr>
      <w:r>
        <w:t>Continue purposeful collaboration with small-school networks and strengthen transition links with Key Stage 3 where these improve pupils’ reading journey.</w:t>
      </w:r>
    </w:p>
    <w:p>
      <w:pPr>
        <w:spacing w:before="160" w:after="100"/>
      </w:pPr>
      <w:r>
        <w:rPr>
          <w:b/>
        </w:rPr>
        <w:t>Review</w:t>
      </w:r>
    </w:p>
    <w:p>
      <w:r>
        <w:t>This strategy was reviewed in September 2026.</w:t>
      </w:r>
    </w:p>
    <w:p>
      <w:r>
        <w:t>It will next be reviewed in September 2027 in accordance with the school’s review schedule, or earlier if there are significant changes to statutory requirements, national guidance or the school’s reading provision.</w:t>
      </w:r>
    </w:p>
    <w:sectPr w:rsidR="00FC693F" w:rsidRPr="0006063C" w:rsidSect="00034616">
      <w:headerReference w:type="default" r:id="rId9"/>
      <w:footerReference w:type="default" r:id="rId10"/>
      <w:pgSz w:w="11909" w:h="16834"/>
      <w:pgMar w:top="893" w:right="1080" w:bottom="893" w:left="1080" w:header="432"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r>
      <w:rPr>
        <w:rFonts w:ascii="Arial" w:hAnsi="Arial"/>
        <w:color w:val="919191"/>
        <w:sz w:val="16"/>
      </w:rPr>
      <w:t>Reading Strategy SSA v 0926</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59" w:lineRule="auto"/>
    </w:pPr>
    <w:rPr>
      <w:rFonts w:ascii="Arial" w:hAnsi="Arial"/>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ntTable" Target="fontTable.xml"/><Relationship Id="rId12" Type="http://schemas.openxmlformats.org/officeDocument/2006/relationships/customXml" Target="../customXml/item2.xml"/><Relationship Id="rId2" Type="http://schemas.openxmlformats.org/officeDocument/2006/relationships/numbering" Target="numbering.xml"/><Relationship Id="rId6" Type="http://schemas.openxmlformats.org/officeDocument/2006/relationships/webSettings" Target="webSettings.xml"/><Relationship Id="rId1" Type="http://schemas.openxmlformats.org/officeDocument/2006/relationships/customXml" Target="../customXml/item1.xml"/><Relationship Id="rId11" Type="http://schemas.openxmlformats.org/officeDocument/2006/relationships/image" Target="media/image1.png"/><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21902B47FCE6640A133EAB19A12DD97" ma:contentTypeVersion="16" ma:contentTypeDescription="Create a new document." ma:contentTypeScope="" ma:versionID="cf141a05e1140f44f106f4082b0731ae">
  <xsd:schema xmlns:xsd="http://www.w3.org/2001/XMLSchema" xmlns:xs="http://www.w3.org/2001/XMLSchema" xmlns:p="http://schemas.microsoft.com/office/2006/metadata/properties" xmlns:ns2="4999ca5b-881e-46af-a384-63bba6ed68ed" xmlns:ns3="e6bfa20c-cb26-44c9-ad5a-3ddd9af63872" targetNamespace="http://schemas.microsoft.com/office/2006/metadata/properties" ma:root="true" ma:fieldsID="34354e51e93d2763dd46c952f9623ffe" ns2:_="" ns3:_="">
    <xsd:import namespace="4999ca5b-881e-46af-a384-63bba6ed68ed"/>
    <xsd:import namespace="e6bfa20c-cb26-44c9-ad5a-3ddd9af6387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99ca5b-881e-46af-a384-63bba6ed68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664f7ba-4150-45e1-8932-0d21702dbcf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6bfa20c-cb26-44c9-ad5a-3ddd9af6387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ba759dd-c229-4e26-9c96-331f69ab070e}" ma:internalName="TaxCatchAll" ma:showField="CatchAllData" ma:web="e6bfa20c-cb26-44c9-ad5a-3ddd9af6387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999ca5b-881e-46af-a384-63bba6ed68ed">
      <Terms xmlns="http://schemas.microsoft.com/office/infopath/2007/PartnerControls"/>
    </lcf76f155ced4ddcb4097134ff3c332f>
    <TaxCatchAll xmlns="e6bfa20c-cb26-44c9-ad5a-3ddd9af63872" xsi:nil="true"/>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DE3B3933-F0ED-46DE-BE83-8E89FC616AE8}"/>
</file>

<file path=customXml/itemProps3.xml><?xml version="1.0" encoding="utf-8"?>
<ds:datastoreItem xmlns:ds="http://schemas.openxmlformats.org/officeDocument/2006/customXml" ds:itemID="{3BA73B15-C38D-47BF-BB74-89B42619EF32}"/>
</file>

<file path=customXml/itemProps4.xml><?xml version="1.0" encoding="utf-8"?>
<ds:datastoreItem xmlns:ds="http://schemas.openxmlformats.org/officeDocument/2006/customXml" ds:itemID="{F86426B2-DDFE-4EA5-A5AE-7389150A85F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0x010100821902B47FCE6640A133EAB19A12DD97</vt:lpwstr>
  </property>
</Properties>
</file>